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4A58" w14:textId="00F7DD70" w:rsidR="003510F0" w:rsidRPr="00E955E0" w:rsidRDefault="000530CC" w:rsidP="00053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Useful</w:t>
      </w:r>
      <w:r w:rsidR="002E398A" w:rsidRPr="00E955E0">
        <w:rPr>
          <w:b/>
          <w:bCs/>
          <w:sz w:val="28"/>
          <w:szCs w:val="28"/>
        </w:rPr>
        <w:t xml:space="preserve"> Public Power Excerpts from City’s Franchise Agreement Consultant, </w:t>
      </w:r>
      <w:r>
        <w:rPr>
          <w:b/>
          <w:bCs/>
          <w:sz w:val="28"/>
          <w:szCs w:val="28"/>
        </w:rPr>
        <w:t xml:space="preserve">    </w:t>
      </w:r>
      <w:r w:rsidR="002E398A" w:rsidRPr="00E955E0">
        <w:rPr>
          <w:b/>
          <w:bCs/>
          <w:sz w:val="28"/>
          <w:szCs w:val="28"/>
        </w:rPr>
        <w:t>June 2020</w:t>
      </w:r>
    </w:p>
    <w:p w14:paraId="14BC941E" w14:textId="790BAB3F" w:rsidR="002E398A" w:rsidRDefault="002E398A" w:rsidP="002E398A">
      <w:pPr>
        <w:jc w:val="center"/>
      </w:pPr>
      <w:r>
        <w:t xml:space="preserve">by B. Powers, April 4, </w:t>
      </w:r>
      <w:r w:rsidR="000530CC">
        <w:t>2024</w:t>
      </w:r>
    </w:p>
    <w:p w14:paraId="67418D79" w14:textId="2A5D075A" w:rsidR="002E398A" w:rsidRPr="002E4A40" w:rsidRDefault="002E398A">
      <w:pPr>
        <w:rPr>
          <w:sz w:val="24"/>
          <w:szCs w:val="24"/>
        </w:rPr>
      </w:pPr>
      <w:r w:rsidRPr="002E4A40">
        <w:rPr>
          <w:sz w:val="24"/>
          <w:szCs w:val="24"/>
          <w:u w:val="single"/>
        </w:rPr>
        <w:t>Report title</w:t>
      </w:r>
      <w:r w:rsidRPr="002E4A40">
        <w:rPr>
          <w:sz w:val="24"/>
          <w:szCs w:val="24"/>
        </w:rPr>
        <w:t xml:space="preserve">: JVJ Pacific Consulting, LLC, </w:t>
      </w:r>
      <w:r w:rsidRPr="002E4A40">
        <w:rPr>
          <w:i/>
          <w:iCs/>
          <w:sz w:val="24"/>
          <w:szCs w:val="24"/>
        </w:rPr>
        <w:t>Report to the City of San Diego concerning Electric and Gas Distribution Systems</w:t>
      </w:r>
      <w:r w:rsidRPr="002E4A40">
        <w:rPr>
          <w:sz w:val="24"/>
          <w:szCs w:val="24"/>
        </w:rPr>
        <w:t xml:space="preserve">, June 22, 2020. The JVJ report statements on municipal power feasibility are </w:t>
      </w:r>
      <w:r w:rsidR="00931D65" w:rsidRPr="002E4A40">
        <w:rPr>
          <w:sz w:val="24"/>
          <w:szCs w:val="24"/>
        </w:rPr>
        <w:t xml:space="preserve">in part </w:t>
      </w:r>
      <w:r w:rsidRPr="002E4A40">
        <w:rPr>
          <w:sz w:val="24"/>
          <w:szCs w:val="24"/>
        </w:rPr>
        <w:t xml:space="preserve">based on </w:t>
      </w:r>
      <w:r w:rsidR="00931D65" w:rsidRPr="002E4A40">
        <w:rPr>
          <w:sz w:val="24"/>
          <w:szCs w:val="24"/>
        </w:rPr>
        <w:t xml:space="preserve">the </w:t>
      </w:r>
      <w:r w:rsidRPr="002E4A40">
        <w:rPr>
          <w:sz w:val="24"/>
          <w:szCs w:val="24"/>
        </w:rPr>
        <w:t>April 2020 subcontract report by: NewGen Strategies and Solutions/A</w:t>
      </w:r>
      <w:r w:rsidR="00931D65" w:rsidRPr="002E4A40">
        <w:rPr>
          <w:sz w:val="24"/>
          <w:szCs w:val="24"/>
        </w:rPr>
        <w:t>d</w:t>
      </w:r>
      <w:r w:rsidRPr="002E4A40">
        <w:rPr>
          <w:sz w:val="24"/>
          <w:szCs w:val="24"/>
        </w:rPr>
        <w:t xml:space="preserve">visian/MRW, </w:t>
      </w:r>
      <w:r w:rsidRPr="002E4A40">
        <w:rPr>
          <w:i/>
          <w:iCs/>
          <w:sz w:val="24"/>
          <w:szCs w:val="24"/>
        </w:rPr>
        <w:t xml:space="preserve">City of San Diego </w:t>
      </w:r>
      <w:r w:rsidRPr="002E4A40">
        <w:rPr>
          <w:i/>
          <w:iCs/>
          <w:sz w:val="24"/>
          <w:szCs w:val="24"/>
        </w:rPr>
        <w:t>Electric and Gas Franchise Agreements Consultant Report</w:t>
      </w:r>
      <w:r w:rsidRPr="002E4A40">
        <w:rPr>
          <w:sz w:val="24"/>
          <w:szCs w:val="24"/>
        </w:rPr>
        <w:t xml:space="preserve">, April 22, 2020. See: </w:t>
      </w:r>
      <w:hyperlink r:id="rId4" w:history="1">
        <w:r w:rsidRPr="002E4A40">
          <w:rPr>
            <w:rStyle w:val="Hyperlink"/>
            <w:sz w:val="24"/>
            <w:szCs w:val="24"/>
          </w:rPr>
          <w:t>https://www.sandiego.gov/sustainability-mobility/energy/sdge-franchise</w:t>
        </w:r>
      </w:hyperlink>
      <w:r w:rsidRPr="002E4A40">
        <w:rPr>
          <w:sz w:val="24"/>
          <w:szCs w:val="24"/>
        </w:rPr>
        <w:t xml:space="preserve"> (“Reports”).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30"/>
        <w:gridCol w:w="8920"/>
      </w:tblGrid>
      <w:tr w:rsidR="00E955E0" w:rsidRPr="002E4A40" w14:paraId="16676513" w14:textId="77777777" w:rsidTr="003F77A9">
        <w:trPr>
          <w:trHeight w:val="391"/>
        </w:trPr>
        <w:tc>
          <w:tcPr>
            <w:tcW w:w="9350" w:type="dxa"/>
            <w:gridSpan w:val="2"/>
          </w:tcPr>
          <w:p w14:paraId="376E1D50" w14:textId="1734C4DB" w:rsidR="00E955E0" w:rsidRPr="00E955E0" w:rsidRDefault="00E955E0" w:rsidP="00E955E0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E955E0">
              <w:rPr>
                <w:b/>
                <w:bCs/>
                <w:sz w:val="24"/>
                <w:szCs w:val="24"/>
              </w:rPr>
              <w:t>JVJ statements on munic</w:t>
            </w:r>
            <w:r>
              <w:rPr>
                <w:b/>
                <w:bCs/>
                <w:sz w:val="24"/>
                <w:szCs w:val="24"/>
              </w:rPr>
              <w:t>ip</w:t>
            </w:r>
            <w:r w:rsidRPr="00E955E0">
              <w:rPr>
                <w:b/>
                <w:bCs/>
                <w:sz w:val="24"/>
                <w:szCs w:val="24"/>
              </w:rPr>
              <w:t>alization</w:t>
            </w:r>
            <w:r>
              <w:rPr>
                <w:b/>
                <w:bCs/>
                <w:sz w:val="24"/>
                <w:szCs w:val="24"/>
              </w:rPr>
              <w:t xml:space="preserve"> (June 2020)</w:t>
            </w:r>
          </w:p>
        </w:tc>
      </w:tr>
      <w:tr w:rsidR="003F77A9" w:rsidRPr="002E4A40" w14:paraId="4C15311A" w14:textId="77777777" w:rsidTr="003F77A9">
        <w:trPr>
          <w:trHeight w:val="689"/>
        </w:trPr>
        <w:tc>
          <w:tcPr>
            <w:tcW w:w="486" w:type="dxa"/>
          </w:tcPr>
          <w:p w14:paraId="179D49AB" w14:textId="07737D97" w:rsidR="002E398A" w:rsidRPr="002E4A40" w:rsidRDefault="00931D65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4</w:t>
            </w:r>
            <w:r w:rsidR="00E955E0">
              <w:rPr>
                <w:sz w:val="24"/>
                <w:szCs w:val="24"/>
              </w:rPr>
              <w:t>9-</w:t>
            </w:r>
          </w:p>
        </w:tc>
        <w:tc>
          <w:tcPr>
            <w:tcW w:w="8864" w:type="dxa"/>
          </w:tcPr>
          <w:p w14:paraId="081FEEB4" w14:textId="7ED67D08" w:rsidR="002E398A" w:rsidRPr="002E4A40" w:rsidRDefault="00931D65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The California Constitution, Article XI § 9 empowers all California cities to own and operate electric utilities and to sell electric power and natural gas, both within and beyond their boundaries.</w:t>
            </w:r>
          </w:p>
        </w:tc>
      </w:tr>
      <w:tr w:rsidR="003F77A9" w:rsidRPr="002E4A40" w14:paraId="6D71E076" w14:textId="77777777" w:rsidTr="003F77A9">
        <w:trPr>
          <w:trHeight w:val="689"/>
        </w:trPr>
        <w:tc>
          <w:tcPr>
            <w:tcW w:w="486" w:type="dxa"/>
          </w:tcPr>
          <w:p w14:paraId="640997BF" w14:textId="78CF153E" w:rsidR="002E398A" w:rsidRPr="002E4A40" w:rsidRDefault="00931D65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49</w:t>
            </w:r>
          </w:p>
        </w:tc>
        <w:tc>
          <w:tcPr>
            <w:tcW w:w="8864" w:type="dxa"/>
          </w:tcPr>
          <w:p w14:paraId="5F0F6A67" w14:textId="0F75C62A" w:rsidR="002E398A" w:rsidRPr="002E4A40" w:rsidRDefault="00931D65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Local governance extends to ratemaking and rate design.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>Neither the CPUC nor FERC have ratemaking or other general regulatory powers over a municipal electric enterprise.</w:t>
            </w:r>
          </w:p>
        </w:tc>
      </w:tr>
      <w:tr w:rsidR="003F77A9" w:rsidRPr="002E4A40" w14:paraId="24F74D25" w14:textId="77777777" w:rsidTr="003F77A9">
        <w:trPr>
          <w:trHeight w:val="689"/>
        </w:trPr>
        <w:tc>
          <w:tcPr>
            <w:tcW w:w="486" w:type="dxa"/>
          </w:tcPr>
          <w:p w14:paraId="44BCF00D" w14:textId="492638CE" w:rsidR="002E398A" w:rsidRPr="002E4A40" w:rsidRDefault="00931D65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50</w:t>
            </w:r>
          </w:p>
        </w:tc>
        <w:tc>
          <w:tcPr>
            <w:tcW w:w="8864" w:type="dxa"/>
          </w:tcPr>
          <w:p w14:paraId="1F51ECD4" w14:textId="2E0BF91E" w:rsidR="002E398A" w:rsidRPr="002E4A40" w:rsidRDefault="00931D65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There is no state law requirement of a vote of a city’s residents to form a municipal utility to provide electric service within a city’s boundaries</w:t>
            </w:r>
            <w:r w:rsidRPr="002E4A40">
              <w:rPr>
                <w:sz w:val="24"/>
                <w:szCs w:val="24"/>
              </w:rPr>
              <w:t>.</w:t>
            </w:r>
          </w:p>
        </w:tc>
      </w:tr>
      <w:tr w:rsidR="003F77A9" w:rsidRPr="002E4A40" w14:paraId="18F0C4C6" w14:textId="77777777" w:rsidTr="003F77A9">
        <w:trPr>
          <w:trHeight w:val="375"/>
        </w:trPr>
        <w:tc>
          <w:tcPr>
            <w:tcW w:w="486" w:type="dxa"/>
          </w:tcPr>
          <w:p w14:paraId="3E574CE6" w14:textId="11C60CDA" w:rsidR="002E398A" w:rsidRPr="002E4A40" w:rsidRDefault="00931D65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50</w:t>
            </w:r>
          </w:p>
        </w:tc>
        <w:tc>
          <w:tcPr>
            <w:tcW w:w="8864" w:type="dxa"/>
          </w:tcPr>
          <w:p w14:paraId="362DDFD5" w14:textId="5748DB2D" w:rsidR="002E398A" w:rsidRPr="002E4A40" w:rsidRDefault="00931D65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Approval by the CPUC or by FERC is not required</w:t>
            </w:r>
            <w:r w:rsidRPr="002E4A40">
              <w:rPr>
                <w:sz w:val="24"/>
                <w:szCs w:val="24"/>
              </w:rPr>
              <w:t xml:space="preserve"> (to form a municipal electric utility)</w:t>
            </w:r>
            <w:r w:rsidRPr="002E4A40">
              <w:rPr>
                <w:sz w:val="24"/>
                <w:szCs w:val="24"/>
              </w:rPr>
              <w:t xml:space="preserve">. </w:t>
            </w:r>
          </w:p>
        </w:tc>
      </w:tr>
      <w:tr w:rsidR="003F77A9" w:rsidRPr="002E4A40" w14:paraId="7DBE7B5D" w14:textId="77777777" w:rsidTr="003F77A9">
        <w:trPr>
          <w:trHeight w:val="689"/>
        </w:trPr>
        <w:tc>
          <w:tcPr>
            <w:tcW w:w="486" w:type="dxa"/>
          </w:tcPr>
          <w:p w14:paraId="67B9A3F6" w14:textId="44A8B021" w:rsidR="002E398A" w:rsidRPr="002E4A40" w:rsidRDefault="00931D65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50</w:t>
            </w:r>
          </w:p>
        </w:tc>
        <w:tc>
          <w:tcPr>
            <w:tcW w:w="8864" w:type="dxa"/>
          </w:tcPr>
          <w:p w14:paraId="57D411DF" w14:textId="1B50149A" w:rsidR="002E398A" w:rsidRPr="002E4A40" w:rsidRDefault="00931D65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 xml:space="preserve">Approval by the San Diego County Local Agency Formation Commission (LAFCO) is not required for the formation of a </w:t>
            </w:r>
            <w:r w:rsidRPr="002E4A40">
              <w:rPr>
                <w:sz w:val="24"/>
                <w:szCs w:val="24"/>
              </w:rPr>
              <w:t xml:space="preserve">(distribution) </w:t>
            </w:r>
            <w:r w:rsidRPr="002E4A40">
              <w:rPr>
                <w:sz w:val="24"/>
                <w:szCs w:val="24"/>
              </w:rPr>
              <w:t>utility to serve within the City.</w:t>
            </w:r>
          </w:p>
        </w:tc>
      </w:tr>
      <w:tr w:rsidR="003F77A9" w:rsidRPr="002E4A40" w14:paraId="45646E7B" w14:textId="77777777" w:rsidTr="003F77A9">
        <w:trPr>
          <w:trHeight w:val="1003"/>
        </w:trPr>
        <w:tc>
          <w:tcPr>
            <w:tcW w:w="486" w:type="dxa"/>
          </w:tcPr>
          <w:p w14:paraId="0F8F9972" w14:textId="10A7A530" w:rsidR="002E398A" w:rsidRPr="002E4A40" w:rsidRDefault="003F77A9" w:rsidP="003F77A9">
            <w:pPr>
              <w:spacing w:before="40" w:after="40"/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669F" w:rsidRPr="002E4A40">
              <w:rPr>
                <w:sz w:val="24"/>
                <w:szCs w:val="24"/>
              </w:rPr>
              <w:t>4</w:t>
            </w:r>
          </w:p>
        </w:tc>
        <w:tc>
          <w:tcPr>
            <w:tcW w:w="8864" w:type="dxa"/>
          </w:tcPr>
          <w:p w14:paraId="12FE6B3B" w14:textId="593EC612" w:rsidR="002E398A" w:rsidRPr="002E4A40" w:rsidRDefault="0007669F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 xml:space="preserve">The purchase price assumption does not have </w:t>
            </w:r>
            <w:proofErr w:type="gramStart"/>
            <w:r w:rsidRPr="002E4A40">
              <w:rPr>
                <w:sz w:val="24"/>
                <w:szCs w:val="24"/>
              </w:rPr>
              <w:t>significant</w:t>
            </w:r>
            <w:proofErr w:type="gramEnd"/>
            <w:r w:rsidRPr="002E4A40">
              <w:rPr>
                <w:sz w:val="24"/>
                <w:szCs w:val="24"/>
              </w:rPr>
              <w:t xml:space="preserve"> effect on the cost customers would pay for EDU </w:t>
            </w:r>
            <w:r w:rsidRPr="002E4A40">
              <w:rPr>
                <w:sz w:val="24"/>
                <w:szCs w:val="24"/>
              </w:rPr>
              <w:t xml:space="preserve">(Electric Distribution Utility) </w:t>
            </w:r>
            <w:r w:rsidRPr="002E4A40">
              <w:rPr>
                <w:sz w:val="24"/>
                <w:szCs w:val="24"/>
              </w:rPr>
              <w:t>service. This is because EDU fixed asset costs (e.g., annual debt service) are a small portion of the total cost of service for the EDU.</w:t>
            </w:r>
          </w:p>
        </w:tc>
      </w:tr>
      <w:tr w:rsidR="0007669F" w:rsidRPr="002E4A40" w14:paraId="241B7186" w14:textId="77777777" w:rsidTr="003F77A9">
        <w:trPr>
          <w:trHeight w:val="595"/>
        </w:trPr>
        <w:tc>
          <w:tcPr>
            <w:tcW w:w="9350" w:type="dxa"/>
            <w:gridSpan w:val="2"/>
          </w:tcPr>
          <w:p w14:paraId="4C7AF525" w14:textId="2DD4B198" w:rsidR="0007669F" w:rsidRPr="002E4A40" w:rsidRDefault="0007669F" w:rsidP="0007669F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2E4A40">
              <w:rPr>
                <w:b/>
                <w:bCs/>
                <w:sz w:val="24"/>
                <w:szCs w:val="24"/>
              </w:rPr>
              <w:t>NewGen Strategies/Advisian/MRW subcontractor report on EDU valuation</w:t>
            </w:r>
            <w:r w:rsidR="00E955E0">
              <w:rPr>
                <w:b/>
                <w:bCs/>
                <w:sz w:val="24"/>
                <w:szCs w:val="24"/>
              </w:rPr>
              <w:t xml:space="preserve"> (April 2020)</w:t>
            </w:r>
          </w:p>
        </w:tc>
      </w:tr>
      <w:tr w:rsidR="003F77A9" w:rsidRPr="002E4A40" w14:paraId="0EAD796D" w14:textId="77777777" w:rsidTr="003F77A9">
        <w:trPr>
          <w:trHeight w:val="689"/>
        </w:trPr>
        <w:tc>
          <w:tcPr>
            <w:tcW w:w="486" w:type="dxa"/>
          </w:tcPr>
          <w:p w14:paraId="4BDED66E" w14:textId="3D0B8B6F" w:rsidR="002E398A" w:rsidRPr="002E4A40" w:rsidRDefault="0007669F" w:rsidP="00931D6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1</w:t>
            </w:r>
          </w:p>
        </w:tc>
        <w:tc>
          <w:tcPr>
            <w:tcW w:w="8864" w:type="dxa"/>
          </w:tcPr>
          <w:p w14:paraId="3ED50F01" w14:textId="01D5B837" w:rsidR="002E398A" w:rsidRPr="002E4A40" w:rsidRDefault="0007669F" w:rsidP="002E398A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Scope of work:</w:t>
            </w:r>
            <w:r w:rsidR="002E4A40"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>“</w:t>
            </w:r>
            <w:r w:rsidRPr="002E4A40">
              <w:rPr>
                <w:sz w:val="24"/>
                <w:szCs w:val="24"/>
              </w:rPr>
              <w:t>perform a preliminary valuation of the existing </w:t>
            </w:r>
            <w:r w:rsidRPr="002E4A40">
              <w:rPr>
                <w:sz w:val="24"/>
                <w:szCs w:val="24"/>
                <w:u w:val="single"/>
              </w:rPr>
              <w:t>electric</w:t>
            </w:r>
            <w:r w:rsidRPr="002E4A40">
              <w:rPr>
                <w:sz w:val="24"/>
                <w:szCs w:val="24"/>
              </w:rPr>
              <w:t> </w:t>
            </w:r>
            <w:r w:rsidR="002E4A40">
              <w:rPr>
                <w:sz w:val="24"/>
                <w:szCs w:val="24"/>
              </w:rPr>
              <w:t>&amp;</w:t>
            </w:r>
            <w:r w:rsidRPr="002E4A40">
              <w:rPr>
                <w:sz w:val="24"/>
                <w:szCs w:val="24"/>
              </w:rPr>
              <w:t> gas </w:t>
            </w:r>
            <w:r w:rsidRPr="002E4A40">
              <w:rPr>
                <w:sz w:val="24"/>
                <w:szCs w:val="24"/>
                <w:u w:val="single"/>
              </w:rPr>
              <w:t>distribution</w:t>
            </w:r>
            <w:r w:rsidRPr="00E955E0">
              <w:rPr>
                <w:sz w:val="24"/>
                <w:szCs w:val="24"/>
              </w:rPr>
              <w:t> infrastructure</w:t>
            </w:r>
            <w:r w:rsidRPr="002E4A40">
              <w:rPr>
                <w:sz w:val="24"/>
                <w:szCs w:val="24"/>
              </w:rPr>
              <w:t> </w:t>
            </w:r>
            <w:r w:rsidR="002E4A40" w:rsidRPr="002E4A40">
              <w:rPr>
                <w:sz w:val="24"/>
                <w:szCs w:val="24"/>
              </w:rPr>
              <w:t xml:space="preserve"> </w:t>
            </w:r>
            <w:r w:rsidR="00E955E0">
              <w:rPr>
                <w:sz w:val="24"/>
                <w:szCs w:val="24"/>
              </w:rPr>
              <w:t xml:space="preserve">   </w:t>
            </w:r>
            <w:r w:rsidRPr="002E4A40">
              <w:rPr>
                <w:sz w:val="24"/>
                <w:szCs w:val="24"/>
              </w:rPr>
              <w:t>owned by SDG&amp;E in the City</w:t>
            </w:r>
            <w:r w:rsidRPr="002E4A40">
              <w:rPr>
                <w:sz w:val="24"/>
                <w:szCs w:val="24"/>
              </w:rPr>
              <w:t>”</w:t>
            </w:r>
          </w:p>
        </w:tc>
      </w:tr>
      <w:tr w:rsidR="00931D65" w:rsidRPr="002E4A40" w14:paraId="3A1BD538" w14:textId="77777777" w:rsidTr="003F77A9">
        <w:trPr>
          <w:trHeight w:val="595"/>
        </w:trPr>
        <w:tc>
          <w:tcPr>
            <w:tcW w:w="9350" w:type="dxa"/>
            <w:gridSpan w:val="2"/>
          </w:tcPr>
          <w:p w14:paraId="4F097D61" w14:textId="391B27F2" w:rsidR="00931D65" w:rsidRPr="002E4A40" w:rsidRDefault="00931D65" w:rsidP="0007669F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2E4A40">
              <w:rPr>
                <w:b/>
                <w:bCs/>
                <w:sz w:val="24"/>
                <w:szCs w:val="24"/>
              </w:rPr>
              <w:t xml:space="preserve">City Charter </w:t>
            </w:r>
          </w:p>
        </w:tc>
      </w:tr>
      <w:tr w:rsidR="003F77A9" w:rsidRPr="002E4A40" w14:paraId="670210BA" w14:textId="77777777" w:rsidTr="003F77A9">
        <w:trPr>
          <w:trHeight w:val="1285"/>
        </w:trPr>
        <w:tc>
          <w:tcPr>
            <w:tcW w:w="486" w:type="dxa"/>
          </w:tcPr>
          <w:p w14:paraId="58CF9D29" w14:textId="2B6E6855" w:rsidR="002E398A" w:rsidRPr="002E4A40" w:rsidRDefault="00931D65" w:rsidP="003F77A9">
            <w:pPr>
              <w:spacing w:before="40" w:after="40"/>
              <w:ind w:left="-120" w:right="-90"/>
              <w:jc w:val="center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</w:rPr>
              <w:t>104</w:t>
            </w:r>
          </w:p>
        </w:tc>
        <w:tc>
          <w:tcPr>
            <w:tcW w:w="8864" w:type="dxa"/>
          </w:tcPr>
          <w:p w14:paraId="2FCD033D" w14:textId="5C938261" w:rsidR="002E398A" w:rsidRPr="002E4A40" w:rsidRDefault="00931D65" w:rsidP="00931D65">
            <w:pPr>
              <w:spacing w:before="40" w:after="40"/>
              <w:rPr>
                <w:sz w:val="24"/>
                <w:szCs w:val="24"/>
              </w:rPr>
            </w:pPr>
            <w:r w:rsidRPr="002E4A40">
              <w:rPr>
                <w:sz w:val="24"/>
                <w:szCs w:val="24"/>
                <w:u w:val="single"/>
              </w:rPr>
              <w:t>The Council</w:t>
            </w:r>
            <w:r w:rsidRPr="002E4A40">
              <w:rPr>
                <w:sz w:val="24"/>
                <w:szCs w:val="24"/>
              </w:rPr>
              <w:t xml:space="preserve"> may fix the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>term of each new franchise in accordance with the laws of the State of California,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 xml:space="preserve">provided that </w:t>
            </w:r>
            <w:r w:rsidRPr="002E4A40">
              <w:rPr>
                <w:sz w:val="24"/>
                <w:szCs w:val="24"/>
                <w:u w:val="single"/>
              </w:rPr>
              <w:t>any franchise may be terminated by ordinance</w:t>
            </w:r>
            <w:r w:rsidRPr="002E4A40">
              <w:rPr>
                <w:sz w:val="24"/>
                <w:szCs w:val="24"/>
              </w:rPr>
              <w:t xml:space="preserve"> whenever the City shall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>determine to acquire by condemnation or otherwise the property of any utility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  <w:u w:val="single"/>
              </w:rPr>
              <w:t>necessary</w:t>
            </w:r>
            <w:r w:rsidRPr="002E4A40">
              <w:rPr>
                <w:sz w:val="24"/>
                <w:szCs w:val="24"/>
                <w:u w:val="single"/>
              </w:rPr>
              <w:t xml:space="preserve"> </w:t>
            </w:r>
            <w:r w:rsidRPr="002E4A40">
              <w:rPr>
                <w:sz w:val="24"/>
                <w:szCs w:val="24"/>
                <w:u w:val="single"/>
              </w:rPr>
              <w:t>for the welfare of the City</w:t>
            </w:r>
            <w:r w:rsidRPr="002E4A40">
              <w:rPr>
                <w:sz w:val="24"/>
                <w:szCs w:val="24"/>
              </w:rPr>
              <w:t>, such termination to be effective upon and not before payment</w:t>
            </w:r>
            <w:r w:rsidRPr="002E4A40">
              <w:rPr>
                <w:sz w:val="24"/>
                <w:szCs w:val="24"/>
              </w:rPr>
              <w:t xml:space="preserve"> </w:t>
            </w:r>
            <w:r w:rsidRPr="002E4A40">
              <w:rPr>
                <w:sz w:val="24"/>
                <w:szCs w:val="24"/>
              </w:rPr>
              <w:t>of the purchase price for the property to be acquired</w:t>
            </w:r>
            <w:r w:rsidRPr="002E4A40">
              <w:rPr>
                <w:sz w:val="24"/>
                <w:szCs w:val="24"/>
              </w:rPr>
              <w:t>.</w:t>
            </w:r>
          </w:p>
        </w:tc>
      </w:tr>
    </w:tbl>
    <w:p w14:paraId="51738D45" w14:textId="77777777" w:rsidR="002E398A" w:rsidRPr="002E4A40" w:rsidRDefault="002E398A">
      <w:pPr>
        <w:rPr>
          <w:sz w:val="24"/>
          <w:szCs w:val="24"/>
        </w:rPr>
      </w:pPr>
    </w:p>
    <w:sectPr w:rsidR="002E398A" w:rsidRPr="002E4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A"/>
    <w:rsid w:val="000530CC"/>
    <w:rsid w:val="0007669F"/>
    <w:rsid w:val="00201A7F"/>
    <w:rsid w:val="002E398A"/>
    <w:rsid w:val="002E4A40"/>
    <w:rsid w:val="003510F0"/>
    <w:rsid w:val="003F77A9"/>
    <w:rsid w:val="00931D65"/>
    <w:rsid w:val="00E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DA55"/>
  <w15:chartTrackingRefBased/>
  <w15:docId w15:val="{8E64AC68-253D-4329-B302-E396885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9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9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9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9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9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9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9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9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9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98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3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9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E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diego.gov/sustainability-mobility/energy/sdge-franch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Powers</dc:creator>
  <cp:keywords/>
  <dc:description/>
  <cp:lastModifiedBy>Bill Powers</cp:lastModifiedBy>
  <cp:revision>4</cp:revision>
  <dcterms:created xsi:type="dcterms:W3CDTF">2024-04-05T00:20:00Z</dcterms:created>
  <dcterms:modified xsi:type="dcterms:W3CDTF">2024-04-05T01:11:00Z</dcterms:modified>
</cp:coreProperties>
</file>